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5A0" w:rsidRDefault="005175A0" w:rsidP="005175A0">
      <w:r>
        <w:t xml:space="preserve">  </w:t>
      </w: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t xml:space="preserve"> </w:t>
      </w:r>
      <w:r w:rsidRPr="00871B69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2 </w:t>
      </w:r>
      <w:r w:rsidRPr="00871B69">
        <w:rPr>
          <w:rFonts w:ascii="Times New Roman" w:hAnsi="Times New Roman" w:cs="Times New Roman"/>
          <w:b/>
          <w:sz w:val="20"/>
          <w:szCs w:val="20"/>
        </w:rPr>
        <w:t>Table. Risk</w:t>
      </w:r>
      <w:r w:rsidRPr="00DC1C20">
        <w:rPr>
          <w:rFonts w:ascii="Times New Roman" w:hAnsi="Times New Roman" w:cs="Times New Roman"/>
          <w:b/>
          <w:sz w:val="20"/>
          <w:szCs w:val="20"/>
        </w:rPr>
        <w:t>s</w:t>
      </w:r>
      <w:r w:rsidRPr="00871B69">
        <w:rPr>
          <w:rFonts w:ascii="Times New Roman" w:hAnsi="Times New Roman" w:cs="Times New Roman"/>
          <w:b/>
          <w:sz w:val="20"/>
          <w:szCs w:val="20"/>
        </w:rPr>
        <w:t xml:space="preserve"> of hyperlipidemia and hyperglycemia among men and women.</w:t>
      </w:r>
    </w:p>
    <w:tbl>
      <w:tblPr>
        <w:tblStyle w:val="TableGrid"/>
        <w:tblpPr w:leftFromText="180" w:rightFromText="180" w:vertAnchor="page" w:horzAnchor="margin" w:tblpY="2442"/>
        <w:tblW w:w="8514" w:type="dxa"/>
        <w:tblLayout w:type="fixed"/>
        <w:tblLook w:val="0000" w:firstRow="0" w:lastRow="0" w:firstColumn="0" w:lastColumn="0" w:noHBand="0" w:noVBand="0"/>
      </w:tblPr>
      <w:tblGrid>
        <w:gridCol w:w="3168"/>
        <w:gridCol w:w="2106"/>
        <w:gridCol w:w="2070"/>
        <w:gridCol w:w="1170"/>
      </w:tblGrid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06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Women</w:t>
            </w:r>
          </w:p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750 (42.25%)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Men</w:t>
            </w:r>
          </w:p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1025 (57.75%)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5.05 ± 1.11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4.92 ± 1.02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0.013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5.00 (1.40)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4.90 (1.34)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0.022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5.93 ± 2.63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6.49 ± 3.11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5.00 (1.45)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5.35 (1.75)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1.25 ± 0.34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0.98 ± 0.26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1.20 (0.44)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0.96 (0.30)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3.20 ± 0.87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3.22 ± 0.92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0.698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1.19 (0.74)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1.46 (0.99)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6–7 mmol/L in non-diabetic patients, n (%)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47 (7.86%)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81 (10.84%)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0.064</w:t>
            </w:r>
          </w:p>
        </w:tc>
      </w:tr>
      <w:tr w:rsidR="005175A0" w:rsidRPr="00DC1C20" w:rsidTr="005175A0">
        <w:tc>
          <w:tcPr>
            <w:tcW w:w="3168" w:type="dxa"/>
          </w:tcPr>
          <w:p w:rsidR="005175A0" w:rsidRPr="00DC1C20" w:rsidRDefault="005175A0" w:rsidP="005175A0">
            <w:pPr>
              <w:adjustRightInd w:val="0"/>
              <w:spacing w:before="60" w:after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 5.2 mmol/L and LDL &gt; 3.5 mmol/L, n (%)</w:t>
            </w:r>
          </w:p>
        </w:tc>
        <w:tc>
          <w:tcPr>
            <w:tcW w:w="2106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234 (31.20%)</w:t>
            </w:r>
          </w:p>
        </w:tc>
        <w:tc>
          <w:tcPr>
            <w:tcW w:w="20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335 (32.68%)</w:t>
            </w:r>
          </w:p>
        </w:tc>
        <w:tc>
          <w:tcPr>
            <w:tcW w:w="1170" w:type="dxa"/>
          </w:tcPr>
          <w:p w:rsidR="005175A0" w:rsidRPr="00DC1C20" w:rsidRDefault="005175A0" w:rsidP="005175A0">
            <w:pPr>
              <w:adjustRightInd w:val="0"/>
              <w:spacing w:before="60" w:after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1C20">
              <w:rPr>
                <w:rFonts w:ascii="Times New Roman" w:hAnsi="Times New Roman"/>
                <w:color w:val="000000"/>
                <w:sz w:val="20"/>
                <w:szCs w:val="20"/>
              </w:rPr>
              <w:t>0.508</w:t>
            </w:r>
          </w:p>
        </w:tc>
      </w:tr>
    </w:tbl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rPr>
          <w:rFonts w:ascii="Times New Roman" w:hAnsi="Times New Roman" w:cs="Times New Roman"/>
          <w:bCs/>
          <w:sz w:val="20"/>
          <w:szCs w:val="20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Pr="00DC1C20" w:rsidRDefault="005175A0" w:rsidP="005175A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175A0" w:rsidRDefault="005175A0"/>
    <w:sectPr w:rsidR="005175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586"/>
    <w:rsid w:val="003023B4"/>
    <w:rsid w:val="005175A0"/>
    <w:rsid w:val="00D4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443537E-D93E-4DFF-A5CC-BF57D8762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5A0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2</cp:revision>
  <dcterms:created xsi:type="dcterms:W3CDTF">2019-09-04T12:17:00Z</dcterms:created>
  <dcterms:modified xsi:type="dcterms:W3CDTF">2019-09-04T12:17:00Z</dcterms:modified>
</cp:coreProperties>
</file>